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EDC" w:rsidRPr="005B1CC4" w:rsidRDefault="00D02D33">
      <w:pPr>
        <w:pStyle w:val="Title"/>
        <w:rPr>
          <w:color w:val="000000" w:themeColor="text1"/>
        </w:rPr>
      </w:pPr>
      <w:r w:rsidRPr="005B1CC4">
        <w:rPr>
          <w:color w:val="000000" w:themeColor="text1"/>
        </w:rPr>
        <w:t>PACWEST NURSING SOLUTIONS</w:t>
      </w:r>
    </w:p>
    <w:p w:rsidR="00485EDC" w:rsidRPr="005B1CC4" w:rsidRDefault="00D02D33">
      <w:pPr>
        <w:rPr>
          <w:color w:val="000000" w:themeColor="text1"/>
        </w:rPr>
      </w:pPr>
      <w:r w:rsidRPr="005B1CC4">
        <w:rPr>
          <w:color w:val="000000" w:themeColor="text1"/>
        </w:rPr>
        <w:t>Legal Nurse Consulting</w:t>
      </w:r>
      <w:r w:rsidRPr="005B1CC4">
        <w:rPr>
          <w:color w:val="000000" w:themeColor="text1"/>
        </w:rPr>
        <w:br/>
      </w:r>
    </w:p>
    <w:p w:rsidR="00485EDC" w:rsidRPr="005B1CC4" w:rsidRDefault="00D02D33">
      <w:pPr>
        <w:pStyle w:val="Heading1"/>
        <w:rPr>
          <w:b w:val="0"/>
          <w:color w:val="000000" w:themeColor="text1"/>
        </w:rPr>
      </w:pPr>
      <w:r w:rsidRPr="005B1CC4">
        <w:rPr>
          <w:b w:val="0"/>
          <w:color w:val="000000" w:themeColor="text1"/>
        </w:rPr>
        <w:t>COMPREHENSIVE LEGAL NURSE CONSULTANT CASE ANALYSIS</w:t>
      </w:r>
    </w:p>
    <w:p w:rsidR="00485EDC" w:rsidRPr="005B1CC4" w:rsidRDefault="00D02D33">
      <w:pPr>
        <w:rPr>
          <w:color w:val="000000" w:themeColor="text1"/>
        </w:rPr>
      </w:pPr>
      <w:r w:rsidRPr="005B1CC4">
        <w:rPr>
          <w:color w:val="000000" w:themeColor="text1"/>
        </w:rPr>
        <w:t>Traumatic Brain Injury (TBI) — Failure to Monitor, Failure to Escalate, Failure to Rescue</w:t>
      </w:r>
      <w:r w:rsidRPr="005B1CC4">
        <w:rPr>
          <w:color w:val="000000" w:themeColor="text1"/>
        </w:rPr>
        <w:br/>
      </w:r>
    </w:p>
    <w:p w:rsidR="00485EDC" w:rsidRPr="005B1CC4" w:rsidRDefault="00D02D33">
      <w:pPr>
        <w:rPr>
          <w:color w:val="000000" w:themeColor="text1"/>
        </w:rPr>
      </w:pPr>
      <w:r w:rsidRPr="005B1CC4">
        <w:rPr>
          <w:color w:val="000000" w:themeColor="text1"/>
        </w:rPr>
        <w:t>CONFIDENTIAL CONSULTATION REPORT</w:t>
      </w:r>
      <w:r w:rsidRPr="005B1CC4">
        <w:rPr>
          <w:color w:val="000000" w:themeColor="text1"/>
        </w:rPr>
        <w:br/>
        <w:t xml:space="preserve">Attorney Work Product | </w:t>
      </w:r>
      <w:r w:rsidRPr="005B1CC4">
        <w:rPr>
          <w:color w:val="000000" w:themeColor="text1"/>
        </w:rPr>
        <w:t>Prepared at Direction of Counsel</w:t>
      </w:r>
      <w:r w:rsidRPr="005B1CC4">
        <w:rPr>
          <w:color w:val="000000" w:themeColor="text1"/>
        </w:rPr>
        <w:br/>
      </w:r>
    </w:p>
    <w:p w:rsidR="00485EDC" w:rsidRPr="005B1CC4" w:rsidRDefault="00D02D33">
      <w:pPr>
        <w:rPr>
          <w:color w:val="000000" w:themeColor="text1"/>
        </w:rPr>
      </w:pPr>
      <w:r w:rsidRPr="005B1CC4">
        <w:rPr>
          <w:color w:val="000000" w:themeColor="text1"/>
        </w:rPr>
        <w:t>Prepared For</w:t>
      </w:r>
      <w:proofErr w:type="gramStart"/>
      <w:r w:rsidRPr="005B1CC4">
        <w:rPr>
          <w:color w:val="000000" w:themeColor="text1"/>
        </w:rPr>
        <w:t>:</w:t>
      </w:r>
      <w:proofErr w:type="gramEnd"/>
      <w:r w:rsidRPr="005B1CC4">
        <w:rPr>
          <w:color w:val="000000" w:themeColor="text1"/>
        </w:rPr>
        <w:br/>
      </w:r>
      <w:r w:rsidRPr="005B1CC4">
        <w:rPr>
          <w:color w:val="000000" w:themeColor="text1"/>
          <w:highlight w:val="black"/>
        </w:rPr>
        <w:t>[Attorney Name], Esq.</w:t>
      </w:r>
      <w:r w:rsidRPr="005B1CC4">
        <w:rPr>
          <w:color w:val="000000" w:themeColor="text1"/>
          <w:highlight w:val="black"/>
        </w:rPr>
        <w:br/>
        <w:t>[Law Firm Name]</w:t>
      </w:r>
      <w:r w:rsidRPr="005B1CC4">
        <w:rPr>
          <w:color w:val="000000" w:themeColor="text1"/>
        </w:rPr>
        <w:br/>
      </w:r>
      <w:r w:rsidRPr="005B1CC4">
        <w:rPr>
          <w:color w:val="000000" w:themeColor="text1"/>
        </w:rPr>
        <w:br/>
        <w:t>Prepared By:</w:t>
      </w:r>
      <w:r w:rsidRPr="005B1CC4">
        <w:rPr>
          <w:color w:val="000000" w:themeColor="text1"/>
        </w:rPr>
        <w:br/>
        <w:t>PacWest Nursing Solutions</w:t>
      </w:r>
      <w:r w:rsidRPr="005B1CC4">
        <w:rPr>
          <w:color w:val="000000" w:themeColor="text1"/>
        </w:rPr>
        <w:br/>
        <w:t>Legal Nurse Consulting</w:t>
      </w:r>
      <w:r w:rsidRPr="005B1CC4">
        <w:rPr>
          <w:color w:val="000000" w:themeColor="text1"/>
        </w:rPr>
        <w:br/>
      </w:r>
      <w:r w:rsidRPr="005B1CC4">
        <w:rPr>
          <w:color w:val="000000" w:themeColor="text1"/>
          <w:highlight w:val="black"/>
        </w:rPr>
        <w:t>[Your Name</w:t>
      </w:r>
      <w:r w:rsidRPr="005B1CC4">
        <w:rPr>
          <w:color w:val="000000" w:themeColor="text1"/>
        </w:rPr>
        <w:t xml:space="preserve">, RN, BSN, </w:t>
      </w:r>
      <w:r w:rsidR="005B1CC4">
        <w:rPr>
          <w:color w:val="000000" w:themeColor="text1"/>
        </w:rPr>
        <w:t>MBA-HCM,BCPA,</w:t>
      </w:r>
      <w:r w:rsidRPr="005B1CC4">
        <w:rPr>
          <w:color w:val="000000" w:themeColor="text1"/>
        </w:rPr>
        <w:t>CLNC</w:t>
      </w:r>
      <w:r w:rsidRPr="005B1CC4">
        <w:rPr>
          <w:color w:val="000000" w:themeColor="text1"/>
        </w:rPr>
        <w:br/>
      </w:r>
      <w:r w:rsidRPr="005B1CC4">
        <w:rPr>
          <w:color w:val="000000" w:themeColor="text1"/>
        </w:rPr>
        <w:br/>
        <w:t>RE:</w:t>
      </w:r>
      <w:r w:rsidRPr="005B1CC4">
        <w:rPr>
          <w:color w:val="000000" w:themeColor="text1"/>
        </w:rPr>
        <w:br/>
      </w:r>
      <w:r w:rsidRPr="005B1CC4">
        <w:rPr>
          <w:color w:val="000000" w:themeColor="text1"/>
          <w:highlight w:val="black"/>
        </w:rPr>
        <w:t>John Doe</w:t>
      </w:r>
      <w:r w:rsidR="00494949">
        <w:rPr>
          <w:color w:val="000000" w:themeColor="text1"/>
        </w:rPr>
        <w:t xml:space="preserve"> PacWest IR </w:t>
      </w:r>
      <w:proofErr w:type="spellStart"/>
      <w:r w:rsidR="00494949" w:rsidRPr="00494949">
        <w:rPr>
          <w:color w:val="000000" w:themeColor="text1"/>
          <w:highlight w:val="black"/>
        </w:rPr>
        <w:t>Smithent</w:t>
      </w:r>
      <w:proofErr w:type="spellEnd"/>
      <w:r w:rsidR="00494949" w:rsidRPr="00494949">
        <w:rPr>
          <w:color w:val="000000" w:themeColor="text1"/>
          <w:highlight w:val="black"/>
        </w:rPr>
        <w:t>,</w:t>
      </w:r>
      <w:r w:rsidR="00494949">
        <w:rPr>
          <w:color w:val="000000" w:themeColor="text1"/>
        </w:rPr>
        <w:t xml:space="preserve"> </w:t>
      </w:r>
      <w:r w:rsidR="00494949" w:rsidRPr="00494949">
        <w:rPr>
          <w:color w:val="000000" w:themeColor="text1"/>
          <w:highlight w:val="black"/>
        </w:rPr>
        <w:t>Craig</w:t>
      </w:r>
      <w:r w:rsidR="00494949">
        <w:rPr>
          <w:color w:val="000000" w:themeColor="text1"/>
        </w:rPr>
        <w:t xml:space="preserve"> Ref # IR124-2025</w:t>
      </w:r>
      <w:r w:rsidRPr="005B1CC4">
        <w:rPr>
          <w:color w:val="000000" w:themeColor="text1"/>
        </w:rPr>
        <w:br/>
        <w:t>Date of Injury</w:t>
      </w:r>
      <w:r w:rsidRPr="005B1CC4">
        <w:rPr>
          <w:color w:val="000000" w:themeColor="text1"/>
          <w:highlight w:val="black"/>
        </w:rPr>
        <w:t>: March 14, 2024</w:t>
      </w:r>
      <w:r w:rsidRPr="005B1CC4">
        <w:rPr>
          <w:color w:val="000000" w:themeColor="text1"/>
        </w:rPr>
        <w:br/>
        <w:t xml:space="preserve">Facility: </w:t>
      </w:r>
      <w:r w:rsidRPr="005B1CC4">
        <w:rPr>
          <w:color w:val="000000" w:themeColor="text1"/>
          <w:highlight w:val="black"/>
        </w:rPr>
        <w:t>Fictitious Regional Medic</w:t>
      </w:r>
      <w:r w:rsidRPr="005B1CC4">
        <w:rPr>
          <w:color w:val="000000" w:themeColor="text1"/>
          <w:highlight w:val="black"/>
        </w:rPr>
        <w:t>al Center</w:t>
      </w:r>
      <w:r w:rsidRPr="005B1CC4">
        <w:rPr>
          <w:color w:val="000000" w:themeColor="text1"/>
        </w:rPr>
        <w:br/>
        <w:t>Mechanism of Injury: Ground-level fall with blunt head impact</w:t>
      </w:r>
      <w:r w:rsidRPr="005B1CC4">
        <w:rPr>
          <w:color w:val="000000" w:themeColor="text1"/>
        </w:rPr>
        <w:br/>
      </w:r>
    </w:p>
    <w:p w:rsidR="00485EDC" w:rsidRPr="005B1CC4" w:rsidRDefault="00D02D33">
      <w:pPr>
        <w:pStyle w:val="Heading2"/>
        <w:rPr>
          <w:b w:val="0"/>
          <w:color w:val="000000" w:themeColor="text1"/>
        </w:rPr>
      </w:pPr>
      <w:r w:rsidRPr="005B1CC4">
        <w:rPr>
          <w:b w:val="0"/>
          <w:color w:val="000000" w:themeColor="text1"/>
        </w:rPr>
        <w:t>EXECUTIVE LEGAL SUMMARY (COUNSEL-LEVEL)</w:t>
      </w:r>
    </w:p>
    <w:p w:rsidR="00485EDC" w:rsidRPr="005B1CC4" w:rsidRDefault="00D02D33">
      <w:pPr>
        <w:rPr>
          <w:color w:val="000000" w:themeColor="text1"/>
        </w:rPr>
      </w:pPr>
      <w:r w:rsidRPr="005B1CC4">
        <w:rPr>
          <w:color w:val="000000" w:themeColor="text1"/>
        </w:rPr>
        <w:t xml:space="preserve">This matter presents a classic failure-to-monitor and failure-to-rescue scenario involving a patient with a known traumatic brain injury whose </w:t>
      </w:r>
      <w:r w:rsidRPr="005B1CC4">
        <w:rPr>
          <w:color w:val="000000" w:themeColor="text1"/>
        </w:rPr>
        <w:t>clinical deterioration was foreseeable, documented, and left unaddressed for several hours. The duty to perform serial neurological assessments and escalate care in the presence of deterioration is well established under CMS Conditions of Participation (42</w:t>
      </w:r>
      <w:r w:rsidRPr="005B1CC4">
        <w:rPr>
          <w:color w:val="000000" w:themeColor="text1"/>
        </w:rPr>
        <w:t xml:space="preserve"> CFR §482.23; 42 CFR §482.55) and national trauma standards (ACS TQIP; Brain Trauma Foundation).</w:t>
      </w:r>
    </w:p>
    <w:p w:rsidR="00485EDC" w:rsidRPr="005B1CC4" w:rsidRDefault="00D02D33">
      <w:pPr>
        <w:pStyle w:val="Heading2"/>
        <w:rPr>
          <w:b w:val="0"/>
          <w:color w:val="000000" w:themeColor="text1"/>
        </w:rPr>
      </w:pPr>
      <w:r w:rsidRPr="005B1CC4">
        <w:rPr>
          <w:b w:val="0"/>
          <w:color w:val="000000" w:themeColor="text1"/>
        </w:rPr>
        <w:t>PURPOSE AND SCOPE OF REVIEW</w:t>
      </w:r>
    </w:p>
    <w:p w:rsidR="00485EDC" w:rsidRPr="005B1CC4" w:rsidRDefault="00D02D33">
      <w:pPr>
        <w:rPr>
          <w:color w:val="000000" w:themeColor="text1"/>
        </w:rPr>
      </w:pPr>
      <w:r w:rsidRPr="005B1CC4">
        <w:rPr>
          <w:color w:val="000000" w:themeColor="text1"/>
        </w:rPr>
        <w:t>At the request of counsel, PacWest Nursing Solutions conducted a comprehensive medical-legal review of the available records to eva</w:t>
      </w:r>
      <w:r w:rsidRPr="005B1CC4">
        <w:rPr>
          <w:color w:val="000000" w:themeColor="text1"/>
        </w:rPr>
        <w:t xml:space="preserve">luate recognition of neurological injury, adequacy of monitoring, timeliness of escalation, and compliance with accepted standards of care. This analysis is confined to nursing and systems-level standards and does not </w:t>
      </w:r>
      <w:r w:rsidRPr="005B1CC4">
        <w:rPr>
          <w:color w:val="000000" w:themeColor="text1"/>
        </w:rPr>
        <w:lastRenderedPageBreak/>
        <w:t>render physician-level diagnostic or c</w:t>
      </w:r>
      <w:r w:rsidRPr="005B1CC4">
        <w:rPr>
          <w:color w:val="000000" w:themeColor="text1"/>
        </w:rPr>
        <w:t>ausation opinions, consistent with Daubert reliability principles (Daubert v. Merrell Dow Pharm., Inc., 509 U.S. 579 (1993)).</w:t>
      </w:r>
    </w:p>
    <w:p w:rsidR="00485EDC" w:rsidRPr="005B1CC4" w:rsidRDefault="00D02D33">
      <w:pPr>
        <w:pStyle w:val="Heading2"/>
        <w:rPr>
          <w:b w:val="0"/>
          <w:color w:val="000000" w:themeColor="text1"/>
        </w:rPr>
      </w:pPr>
      <w:r w:rsidRPr="005B1CC4">
        <w:rPr>
          <w:b w:val="0"/>
          <w:color w:val="000000" w:themeColor="text1"/>
        </w:rPr>
        <w:t>MATERIALS REVIEWED AND RECORD INTEGRITY</w:t>
      </w:r>
    </w:p>
    <w:p w:rsidR="00485EDC" w:rsidRPr="005B1CC4" w:rsidRDefault="00D02D33">
      <w:pPr>
        <w:rPr>
          <w:color w:val="000000" w:themeColor="text1"/>
        </w:rPr>
      </w:pPr>
      <w:r w:rsidRPr="005B1CC4">
        <w:rPr>
          <w:color w:val="000000" w:themeColor="text1"/>
        </w:rPr>
        <w:t>Records reviewed include emergency department documentation, nursing flow sheets, provider</w:t>
      </w:r>
      <w:r w:rsidRPr="005B1CC4">
        <w:rPr>
          <w:color w:val="000000" w:themeColor="text1"/>
        </w:rPr>
        <w:t xml:space="preserve"> progress notes, CT imaging reports, medication administration records, and discharge summaries. CMS regulations require hospitals to maintain complete and accurate medical records sufficient to justify care provided (42 CFR §482.24).</w:t>
      </w:r>
      <w:r w:rsidRPr="005B1CC4">
        <w:rPr>
          <w:color w:val="000000" w:themeColor="text1"/>
        </w:rPr>
        <w:br/>
      </w:r>
      <w:r w:rsidRPr="005B1CC4">
        <w:rPr>
          <w:color w:val="000000" w:themeColor="text1"/>
        </w:rPr>
        <w:br/>
        <w:t>CRITICAL DEFICIENCY:</w:t>
      </w:r>
      <w:r w:rsidRPr="005B1CC4">
        <w:rPr>
          <w:color w:val="000000" w:themeColor="text1"/>
        </w:rPr>
        <w:t xml:space="preserve"> The absence of complete neurological flow sheets and escalation documentation materially impairs the ability to demonstrate that appropriate monitoring and reassessment occurred.</w:t>
      </w:r>
    </w:p>
    <w:p w:rsidR="00485EDC" w:rsidRPr="005B1CC4" w:rsidRDefault="00D02D33">
      <w:pPr>
        <w:pStyle w:val="Heading2"/>
        <w:rPr>
          <w:b w:val="0"/>
          <w:color w:val="000000" w:themeColor="text1"/>
        </w:rPr>
      </w:pPr>
      <w:r w:rsidRPr="005B1CC4">
        <w:rPr>
          <w:b w:val="0"/>
          <w:color w:val="000000" w:themeColor="text1"/>
        </w:rPr>
        <w:t>CLINICAL BACKGROUND AND RISK PROFILE</w:t>
      </w:r>
    </w:p>
    <w:p w:rsidR="00485EDC" w:rsidRPr="005B1CC4" w:rsidRDefault="00D02D33">
      <w:pPr>
        <w:rPr>
          <w:color w:val="000000" w:themeColor="text1"/>
        </w:rPr>
      </w:pPr>
      <w:r w:rsidRPr="005B1CC4">
        <w:rPr>
          <w:color w:val="000000" w:themeColor="text1"/>
        </w:rPr>
        <w:t xml:space="preserve">Mr. Doe, a 54-year-old male, presented </w:t>
      </w:r>
      <w:r w:rsidRPr="005B1CC4">
        <w:rPr>
          <w:color w:val="000000" w:themeColor="text1"/>
        </w:rPr>
        <w:t>following a head strike with documented confusion at the scene. Confusion following head trauma is a recognized high-risk indicator for intracranial injury, requiring heightened neurological surveillance under emergency and trauma care standards (ACEP Clin</w:t>
      </w:r>
      <w:r w:rsidRPr="005B1CC4">
        <w:rPr>
          <w:color w:val="000000" w:themeColor="text1"/>
        </w:rPr>
        <w:t>ical Policy on Mild Traumatic Brain Injury; Brain Trauma Foundation Guidelines).</w:t>
      </w:r>
    </w:p>
    <w:p w:rsidR="00485EDC" w:rsidRPr="005B1CC4" w:rsidRDefault="00D02D33">
      <w:pPr>
        <w:pStyle w:val="Heading2"/>
        <w:rPr>
          <w:b w:val="0"/>
          <w:color w:val="000000" w:themeColor="text1"/>
        </w:rPr>
      </w:pPr>
      <w:r w:rsidRPr="005B1CC4">
        <w:rPr>
          <w:b w:val="0"/>
          <w:color w:val="000000" w:themeColor="text1"/>
        </w:rPr>
        <w:t>CHRONOLOGICAL CLINICAL ANALYSIS WITH LEGAL SIGNIFICANCE</w:t>
      </w:r>
    </w:p>
    <w:p w:rsidR="00485EDC" w:rsidRPr="005B1CC4" w:rsidRDefault="00D02D33">
      <w:pPr>
        <w:rPr>
          <w:color w:val="000000" w:themeColor="text1"/>
        </w:rPr>
      </w:pPr>
      <w:r w:rsidRPr="005B1CC4">
        <w:rPr>
          <w:color w:val="000000" w:themeColor="text1"/>
        </w:rPr>
        <w:t>18:47 – Triage documented confusion and headache; no comprehensive neurological baseline established. CMS nursing stand</w:t>
      </w:r>
      <w:r w:rsidRPr="005B1CC4">
        <w:rPr>
          <w:color w:val="000000" w:themeColor="text1"/>
        </w:rPr>
        <w:t>ards require ongoing assessment and documentation of patient condition (42 CFR §482.23).</w:t>
      </w:r>
      <w:r w:rsidRPr="005B1CC4">
        <w:rPr>
          <w:color w:val="000000" w:themeColor="text1"/>
        </w:rPr>
        <w:br/>
      </w:r>
      <w:r w:rsidRPr="005B1CC4">
        <w:rPr>
          <w:color w:val="000000" w:themeColor="text1"/>
        </w:rPr>
        <w:br/>
        <w:t>19:18 – CT imaging ordered as routine despite neurological risk factors. Trauma guidelines emphasize early and urgent imaging in patients with altered mental status f</w:t>
      </w:r>
      <w:r w:rsidRPr="005B1CC4">
        <w:rPr>
          <w:color w:val="000000" w:themeColor="text1"/>
        </w:rPr>
        <w:t>ollowing head injury (ACEP; Brain Trauma Foundation).</w:t>
      </w:r>
      <w:r w:rsidRPr="005B1CC4">
        <w:rPr>
          <w:color w:val="000000" w:themeColor="text1"/>
        </w:rPr>
        <w:br/>
      </w:r>
      <w:r w:rsidRPr="005B1CC4">
        <w:rPr>
          <w:color w:val="000000" w:themeColor="text1"/>
        </w:rPr>
        <w:br/>
        <w:t>20:42 – CT revealed subdural hemorrhage. Abnormal imaging findings mandate reassessment and escalation to higher levels of care (ACS TQIP).</w:t>
      </w:r>
      <w:r w:rsidRPr="005B1CC4">
        <w:rPr>
          <w:color w:val="000000" w:themeColor="text1"/>
        </w:rPr>
        <w:br/>
      </w:r>
      <w:r w:rsidRPr="005B1CC4">
        <w:rPr>
          <w:color w:val="000000" w:themeColor="text1"/>
        </w:rPr>
        <w:br/>
        <w:t>21:10–22:02 – Progressive decline documented, including vomi</w:t>
      </w:r>
      <w:r w:rsidRPr="005B1CC4">
        <w:rPr>
          <w:color w:val="000000" w:themeColor="text1"/>
        </w:rPr>
        <w:t>ting, bradycardia, and hypoventilation. These are classic signs of rising intracranial pressure requiring emergent response (Brain Trauma Foundation).</w:t>
      </w:r>
      <w:r w:rsidRPr="005B1CC4">
        <w:rPr>
          <w:color w:val="000000" w:themeColor="text1"/>
        </w:rPr>
        <w:br/>
      </w:r>
      <w:r w:rsidRPr="005B1CC4">
        <w:rPr>
          <w:color w:val="000000" w:themeColor="text1"/>
        </w:rPr>
        <w:br/>
        <w:t>02:15 – Patient minimally responsive with unequal pupils. Escalation occurred only after catastrophic ne</w:t>
      </w:r>
      <w:r w:rsidRPr="005B1CC4">
        <w:rPr>
          <w:color w:val="000000" w:themeColor="text1"/>
        </w:rPr>
        <w:t>urological compromise, contrary to established trauma escalation standards (ACS TQIP).</w:t>
      </w:r>
    </w:p>
    <w:p w:rsidR="00485EDC" w:rsidRPr="005B1CC4" w:rsidRDefault="00D02D33">
      <w:pPr>
        <w:pStyle w:val="Heading2"/>
        <w:rPr>
          <w:b w:val="0"/>
          <w:color w:val="000000" w:themeColor="text1"/>
        </w:rPr>
      </w:pPr>
      <w:r w:rsidRPr="005B1CC4">
        <w:rPr>
          <w:b w:val="0"/>
          <w:color w:val="000000" w:themeColor="text1"/>
        </w:rPr>
        <w:t>STANDARD OF CARE ANALYSIS</w:t>
      </w:r>
    </w:p>
    <w:p w:rsidR="00485EDC" w:rsidRPr="005B1CC4" w:rsidRDefault="00D02D33">
      <w:pPr>
        <w:rPr>
          <w:color w:val="000000" w:themeColor="text1"/>
        </w:rPr>
      </w:pPr>
      <w:r w:rsidRPr="005B1CC4">
        <w:rPr>
          <w:color w:val="000000" w:themeColor="text1"/>
        </w:rPr>
        <w:t>Accepted standards of care for traumatic brain injury require baseline neurological assessment, serial reassessments, prompt repeat imaging upo</w:t>
      </w:r>
      <w:r w:rsidRPr="005B1CC4">
        <w:rPr>
          <w:color w:val="000000" w:themeColor="text1"/>
        </w:rPr>
        <w:t xml:space="preserve">n deterioration, and timely escalation to neurosurgical services. These obligations arise from CMS Conditions of </w:t>
      </w:r>
      <w:r w:rsidRPr="005B1CC4">
        <w:rPr>
          <w:color w:val="000000" w:themeColor="text1"/>
        </w:rPr>
        <w:lastRenderedPageBreak/>
        <w:t>Participation (42 CFR §§482.23, 482.55), national trauma guidelines (ACS TQIP), and evidence-based clinical practice standards (Brain Trauma Fo</w:t>
      </w:r>
      <w:r w:rsidRPr="005B1CC4">
        <w:rPr>
          <w:color w:val="000000" w:themeColor="text1"/>
        </w:rPr>
        <w:t>undation; ACEP).</w:t>
      </w:r>
    </w:p>
    <w:p w:rsidR="00485EDC" w:rsidRPr="005B1CC4" w:rsidRDefault="00D02D33">
      <w:pPr>
        <w:pStyle w:val="Heading2"/>
        <w:rPr>
          <w:b w:val="0"/>
          <w:color w:val="000000" w:themeColor="text1"/>
        </w:rPr>
      </w:pPr>
      <w:r w:rsidRPr="005B1CC4">
        <w:rPr>
          <w:b w:val="0"/>
          <w:color w:val="000000" w:themeColor="text1"/>
        </w:rPr>
        <w:t>CAUSATION FRAMEWORK (NURSING AND SYSTEMS-LEVEL)</w:t>
      </w:r>
    </w:p>
    <w:p w:rsidR="00485EDC" w:rsidRPr="005B1CC4" w:rsidRDefault="00D02D33">
      <w:pPr>
        <w:rPr>
          <w:color w:val="000000" w:themeColor="text1"/>
        </w:rPr>
      </w:pPr>
      <w:r w:rsidRPr="005B1CC4">
        <w:rPr>
          <w:color w:val="000000" w:themeColor="text1"/>
        </w:rPr>
        <w:t>While ultimate medical causation opinions rest with physician experts, nursing and systems-level standards recognize that delays in detection and escalation increase the risk of secondary bra</w:t>
      </w:r>
      <w:r w:rsidRPr="005B1CC4">
        <w:rPr>
          <w:color w:val="000000" w:themeColor="text1"/>
        </w:rPr>
        <w:t>in injury. The documented deterioration preceded escalation by several hours, during which intervention opportunities were missed, a principle recognized in trauma literature (Brain Trauma Foundation).</w:t>
      </w:r>
    </w:p>
    <w:p w:rsidR="00485EDC" w:rsidRPr="005B1CC4" w:rsidRDefault="00D02D33">
      <w:pPr>
        <w:pStyle w:val="Heading2"/>
        <w:rPr>
          <w:b w:val="0"/>
          <w:color w:val="000000" w:themeColor="text1"/>
        </w:rPr>
      </w:pPr>
      <w:r w:rsidRPr="005B1CC4">
        <w:rPr>
          <w:b w:val="0"/>
          <w:color w:val="000000" w:themeColor="text1"/>
        </w:rPr>
        <w:t>CASE THEORY SYNTHESIS</w:t>
      </w:r>
    </w:p>
    <w:p w:rsidR="00485EDC" w:rsidRPr="005B1CC4" w:rsidRDefault="00D02D33">
      <w:pPr>
        <w:rPr>
          <w:color w:val="000000" w:themeColor="text1"/>
        </w:rPr>
      </w:pPr>
      <w:r w:rsidRPr="005B1CC4">
        <w:rPr>
          <w:color w:val="000000" w:themeColor="text1"/>
        </w:rPr>
        <w:t>This case is appropriately frame</w:t>
      </w:r>
      <w:r w:rsidRPr="005B1CC4">
        <w:rPr>
          <w:color w:val="000000" w:themeColor="text1"/>
        </w:rPr>
        <w:t>d as one of institutional and provider-level failure rather than unavoidable injury. The record supports theories of negligent monitoring, delayed recognition of deterioration, and failure to timely rescue a neurologically vulnerable patient, consistent wi</w:t>
      </w:r>
      <w:r w:rsidRPr="005B1CC4">
        <w:rPr>
          <w:color w:val="000000" w:themeColor="text1"/>
        </w:rPr>
        <w:t>th CMS regulatory expectations and national trauma standards.</w:t>
      </w:r>
    </w:p>
    <w:p w:rsidR="00485EDC" w:rsidRPr="005B1CC4" w:rsidRDefault="00D02D33">
      <w:pPr>
        <w:pStyle w:val="Heading2"/>
        <w:rPr>
          <w:b w:val="0"/>
          <w:color w:val="000000" w:themeColor="text1"/>
        </w:rPr>
      </w:pPr>
      <w:r w:rsidRPr="005B1CC4">
        <w:rPr>
          <w:b w:val="0"/>
          <w:color w:val="000000" w:themeColor="text1"/>
        </w:rPr>
        <w:t>CONCLUSION</w:t>
      </w:r>
    </w:p>
    <w:p w:rsidR="00485EDC" w:rsidRDefault="00D02D33">
      <w:pPr>
        <w:rPr>
          <w:color w:val="000000" w:themeColor="text1"/>
        </w:rPr>
      </w:pPr>
      <w:r w:rsidRPr="005B1CC4">
        <w:rPr>
          <w:color w:val="000000" w:themeColor="text1"/>
        </w:rPr>
        <w:t>The medical record, when viewed in its entirety, reflects a preventable delay-of-care scenario marked by deficient monitoring, inadequate escalation, and documentation failures. These</w:t>
      </w:r>
      <w:r w:rsidRPr="005B1CC4">
        <w:rPr>
          <w:color w:val="000000" w:themeColor="text1"/>
        </w:rPr>
        <w:t xml:space="preserve"> deviations occurred during a known critical neurological window and materially increased the severity of injury, contrary to CMS requirements and accepted trauma care standards.</w:t>
      </w:r>
    </w:p>
    <w:p w:rsidR="00D02D33" w:rsidRDefault="00D02D33" w:rsidP="00D02D33">
      <w:pPr>
        <w:keepNext/>
        <w:keepLines/>
        <w:spacing w:before="200" w:after="0"/>
        <w:outlineLvl w:val="1"/>
        <w:rPr>
          <w:rFonts w:asciiTheme="majorHAnsi" w:eastAsiaTheme="majorEastAsia" w:hAnsiTheme="majorHAnsi" w:cstheme="majorBidi"/>
          <w:b/>
          <w:bCs/>
          <w:i/>
          <w:color w:val="000000" w:themeColor="text1"/>
          <w:sz w:val="26"/>
          <w:szCs w:val="26"/>
          <w:u w:val="single"/>
        </w:rPr>
      </w:pPr>
      <w:r w:rsidRPr="00D02D33">
        <w:rPr>
          <w:rFonts w:asciiTheme="majorHAnsi" w:eastAsiaTheme="majorEastAsia" w:hAnsiTheme="majorHAnsi" w:cstheme="majorBidi"/>
          <w:b/>
          <w:bCs/>
          <w:i/>
          <w:color w:val="000000" w:themeColor="text1"/>
          <w:sz w:val="26"/>
          <w:szCs w:val="26"/>
          <w:u w:val="single"/>
        </w:rPr>
        <w:t>RECOMMENDATIONS FOR FURTHER ANALYSIS AND DISCOVERY</w:t>
      </w:r>
    </w:p>
    <w:p w:rsidR="00D02D33" w:rsidRPr="00D02D33" w:rsidRDefault="00D02D33" w:rsidP="00D02D33">
      <w:pPr>
        <w:keepNext/>
        <w:keepLines/>
        <w:spacing w:before="200" w:after="0"/>
        <w:outlineLvl w:val="1"/>
        <w:rPr>
          <w:rFonts w:asciiTheme="majorHAnsi" w:eastAsiaTheme="majorEastAsia" w:hAnsiTheme="majorHAnsi" w:cstheme="majorBidi"/>
          <w:b/>
          <w:bCs/>
          <w:i/>
          <w:color w:val="000000" w:themeColor="text1"/>
          <w:sz w:val="26"/>
          <w:szCs w:val="26"/>
          <w:u w:val="single"/>
        </w:rPr>
      </w:pPr>
    </w:p>
    <w:p w:rsidR="00D02D33" w:rsidRPr="00D02D33" w:rsidRDefault="00D02D33" w:rsidP="00D02D33">
      <w:pPr>
        <w:rPr>
          <w:color w:val="000000" w:themeColor="text1"/>
        </w:rPr>
      </w:pPr>
      <w:r w:rsidRPr="00D02D33">
        <w:rPr>
          <w:color w:val="000000" w:themeColor="text1"/>
        </w:rPr>
        <w:t>To further evaluate institutional liability, systems failures, and deviations from internal standards, the following categories of documents, policies, and operational practices should be obtained and analyzed. These materials are routinely discoverable and are critical to determining whether the facility complied with its own rules, recognized risks in real time, and maintained adequate safeguards for patients with traumatic brain injury.</w:t>
      </w:r>
    </w:p>
    <w:p w:rsidR="00D02D33" w:rsidRPr="00D02D33" w:rsidRDefault="00D02D33" w:rsidP="00D02D33">
      <w:pPr>
        <w:keepNext/>
        <w:keepLines/>
        <w:spacing w:before="200" w:after="0"/>
        <w:outlineLvl w:val="2"/>
        <w:rPr>
          <w:rFonts w:asciiTheme="majorHAnsi" w:eastAsiaTheme="majorEastAsia" w:hAnsiTheme="majorHAnsi" w:cstheme="majorBidi"/>
          <w:bCs/>
          <w:color w:val="000000" w:themeColor="text1"/>
        </w:rPr>
      </w:pPr>
      <w:r w:rsidRPr="00D02D33">
        <w:rPr>
          <w:rFonts w:asciiTheme="majorHAnsi" w:eastAsiaTheme="majorEastAsia" w:hAnsiTheme="majorHAnsi" w:cstheme="majorBidi"/>
          <w:bCs/>
          <w:color w:val="000000" w:themeColor="text1"/>
        </w:rPr>
        <w:t>1. Policies and Procedures (Institutional Standards)</w:t>
      </w:r>
    </w:p>
    <w:p w:rsidR="00D02D33" w:rsidRPr="00D02D33" w:rsidRDefault="00D02D33" w:rsidP="00D02D33">
      <w:pPr>
        <w:rPr>
          <w:color w:val="000000" w:themeColor="text1"/>
        </w:rPr>
      </w:pPr>
      <w:r w:rsidRPr="00D02D33">
        <w:rPr>
          <w:color w:val="000000" w:themeColor="text1"/>
        </w:rPr>
        <w:t>• Emergency Department neurological assessment and reassessment policies</w:t>
      </w:r>
      <w:r w:rsidRPr="00D02D33">
        <w:rPr>
          <w:color w:val="000000" w:themeColor="text1"/>
        </w:rPr>
        <w:br/>
        <w:t>• Traumatic brain injury (TBI) monitoring protocols</w:t>
      </w:r>
      <w:r w:rsidRPr="00D02D33">
        <w:rPr>
          <w:color w:val="000000" w:themeColor="text1"/>
        </w:rPr>
        <w:br/>
        <w:t>• Frequency and documentation requirements for neurological checks</w:t>
      </w:r>
      <w:r w:rsidRPr="00D02D33">
        <w:rPr>
          <w:color w:val="000000" w:themeColor="text1"/>
        </w:rPr>
        <w:br/>
        <w:t>• Escalation-of-care and chain-of-command policies</w:t>
      </w:r>
      <w:r w:rsidRPr="00D02D33">
        <w:rPr>
          <w:color w:val="000000" w:themeColor="text1"/>
        </w:rPr>
        <w:br/>
        <w:t>• Rapid response and emergency escalation policies</w:t>
      </w:r>
      <w:r w:rsidRPr="00D02D33">
        <w:rPr>
          <w:color w:val="000000" w:themeColor="text1"/>
        </w:rPr>
        <w:br/>
      </w:r>
      <w:r w:rsidRPr="00D02D33">
        <w:rPr>
          <w:color w:val="000000" w:themeColor="text1"/>
        </w:rPr>
        <w:br/>
        <w:t>Purpose: Internal policies often establish a higher or more specific standard than general practice. Deviation from a facility’s own policies is powerful evidence of negligence and institutional failure.</w:t>
      </w:r>
    </w:p>
    <w:p w:rsidR="00D02D33" w:rsidRPr="00D02D33" w:rsidRDefault="00D02D33" w:rsidP="00D02D33">
      <w:pPr>
        <w:keepNext/>
        <w:keepLines/>
        <w:spacing w:before="200" w:after="0"/>
        <w:outlineLvl w:val="2"/>
        <w:rPr>
          <w:rFonts w:asciiTheme="majorHAnsi" w:eastAsiaTheme="majorEastAsia" w:hAnsiTheme="majorHAnsi" w:cstheme="majorBidi"/>
          <w:bCs/>
          <w:color w:val="000000" w:themeColor="text1"/>
        </w:rPr>
      </w:pPr>
      <w:r w:rsidRPr="00D02D33">
        <w:rPr>
          <w:rFonts w:asciiTheme="majorHAnsi" w:eastAsiaTheme="majorEastAsia" w:hAnsiTheme="majorHAnsi" w:cstheme="majorBidi"/>
          <w:bCs/>
          <w:color w:val="000000" w:themeColor="text1"/>
        </w:rPr>
        <w:lastRenderedPageBreak/>
        <w:t>2. Trauma Activation and Alert Criteria</w:t>
      </w:r>
    </w:p>
    <w:p w:rsidR="00D02D33" w:rsidRPr="00D02D33" w:rsidRDefault="00D02D33" w:rsidP="00D02D33">
      <w:pPr>
        <w:rPr>
          <w:color w:val="000000" w:themeColor="text1"/>
        </w:rPr>
      </w:pPr>
      <w:r w:rsidRPr="00D02D33">
        <w:rPr>
          <w:color w:val="000000" w:themeColor="text1"/>
        </w:rPr>
        <w:t>• Trauma team activation criteria in effect on the date of injury</w:t>
      </w:r>
      <w:r w:rsidRPr="00D02D33">
        <w:rPr>
          <w:color w:val="000000" w:themeColor="text1"/>
        </w:rPr>
        <w:br/>
        <w:t>• Policies governing trauma alerts for head injury and altered mental status</w:t>
      </w:r>
      <w:r w:rsidRPr="00D02D33">
        <w:rPr>
          <w:color w:val="000000" w:themeColor="text1"/>
        </w:rPr>
        <w:br/>
        <w:t>• Documentation showing whether trauma activation was considered or triggered</w:t>
      </w:r>
      <w:r w:rsidRPr="00D02D33">
        <w:rPr>
          <w:color w:val="000000" w:themeColor="text1"/>
        </w:rPr>
        <w:br/>
        <w:t xml:space="preserve">• </w:t>
      </w:r>
      <w:proofErr w:type="gramStart"/>
      <w:r w:rsidRPr="00D02D33">
        <w:rPr>
          <w:color w:val="000000" w:themeColor="text1"/>
        </w:rPr>
        <w:t>Any</w:t>
      </w:r>
      <w:proofErr w:type="gramEnd"/>
      <w:r w:rsidRPr="00D02D33">
        <w:rPr>
          <w:color w:val="000000" w:themeColor="text1"/>
        </w:rPr>
        <w:t xml:space="preserve"> deviations or overrides of trauma activation protocols</w:t>
      </w:r>
      <w:r w:rsidRPr="00D02D33">
        <w:rPr>
          <w:color w:val="000000" w:themeColor="text1"/>
        </w:rPr>
        <w:br/>
      </w:r>
      <w:r w:rsidRPr="00D02D33">
        <w:rPr>
          <w:color w:val="000000" w:themeColor="text1"/>
        </w:rPr>
        <w:br/>
        <w:t>Purpose: Failure to activate trauma protocols when criteria are met supports a failure-to-rescue theory and demonstrates delayed recognition of patient acuity.</w:t>
      </w:r>
    </w:p>
    <w:p w:rsidR="00D02D33" w:rsidRPr="00D02D33" w:rsidRDefault="00D02D33" w:rsidP="00D02D33">
      <w:pPr>
        <w:keepNext/>
        <w:keepLines/>
        <w:spacing w:before="200" w:after="0"/>
        <w:outlineLvl w:val="2"/>
        <w:rPr>
          <w:rFonts w:asciiTheme="majorHAnsi" w:eastAsiaTheme="majorEastAsia" w:hAnsiTheme="majorHAnsi" w:cstheme="majorBidi"/>
          <w:bCs/>
          <w:color w:val="000000" w:themeColor="text1"/>
        </w:rPr>
      </w:pPr>
      <w:r w:rsidRPr="00D02D33">
        <w:rPr>
          <w:rFonts w:asciiTheme="majorHAnsi" w:eastAsiaTheme="majorEastAsia" w:hAnsiTheme="majorHAnsi" w:cstheme="majorBidi"/>
          <w:bCs/>
          <w:color w:val="000000" w:themeColor="text1"/>
        </w:rPr>
        <w:t>3. Nursing Scope, Training, and Competency Records</w:t>
      </w:r>
    </w:p>
    <w:p w:rsidR="00D02D33" w:rsidRPr="00D02D33" w:rsidRDefault="00D02D33" w:rsidP="00D02D33">
      <w:pPr>
        <w:rPr>
          <w:color w:val="000000" w:themeColor="text1"/>
        </w:rPr>
      </w:pPr>
      <w:r w:rsidRPr="00D02D33">
        <w:rPr>
          <w:color w:val="000000" w:themeColor="text1"/>
        </w:rPr>
        <w:t>• Orientation and competency validation for neurological assessment</w:t>
      </w:r>
      <w:r w:rsidRPr="00D02D33">
        <w:rPr>
          <w:color w:val="000000" w:themeColor="text1"/>
        </w:rPr>
        <w:br/>
        <w:t>• Training records related to TBI, stroke, or neurological emergencies</w:t>
      </w:r>
      <w:r w:rsidRPr="00D02D33">
        <w:rPr>
          <w:color w:val="000000" w:themeColor="text1"/>
        </w:rPr>
        <w:br/>
        <w:t>• Annual competency evaluations for emergency department nursing staff</w:t>
      </w:r>
      <w:r w:rsidRPr="00D02D33">
        <w:rPr>
          <w:color w:val="000000" w:themeColor="text1"/>
        </w:rPr>
        <w:br/>
      </w:r>
      <w:r w:rsidRPr="00D02D33">
        <w:rPr>
          <w:color w:val="000000" w:themeColor="text1"/>
        </w:rPr>
        <w:br/>
        <w:t>Purpose: These records help determine whether staff were adequately trained to recognize and escalate neurological deterioration.</w:t>
      </w:r>
    </w:p>
    <w:p w:rsidR="00D02D33" w:rsidRPr="00D02D33" w:rsidRDefault="00D02D33" w:rsidP="00D02D33">
      <w:pPr>
        <w:keepNext/>
        <w:keepLines/>
        <w:spacing w:before="200" w:after="0"/>
        <w:outlineLvl w:val="2"/>
        <w:rPr>
          <w:rFonts w:asciiTheme="majorHAnsi" w:eastAsiaTheme="majorEastAsia" w:hAnsiTheme="majorHAnsi" w:cstheme="majorBidi"/>
          <w:bCs/>
          <w:color w:val="000000" w:themeColor="text1"/>
        </w:rPr>
      </w:pPr>
      <w:r w:rsidRPr="00D02D33">
        <w:rPr>
          <w:rFonts w:asciiTheme="majorHAnsi" w:eastAsiaTheme="majorEastAsia" w:hAnsiTheme="majorHAnsi" w:cstheme="majorBidi"/>
          <w:bCs/>
          <w:color w:val="000000" w:themeColor="text1"/>
        </w:rPr>
        <w:t>4. Physician Coverage and On-Call Responsibilities</w:t>
      </w:r>
    </w:p>
    <w:p w:rsidR="00D02D33" w:rsidRPr="00D02D33" w:rsidRDefault="00D02D33" w:rsidP="00D02D33">
      <w:pPr>
        <w:rPr>
          <w:color w:val="000000" w:themeColor="text1"/>
        </w:rPr>
      </w:pPr>
      <w:r w:rsidRPr="00D02D33">
        <w:rPr>
          <w:color w:val="000000" w:themeColor="text1"/>
        </w:rPr>
        <w:t>• Emergency physician staffing schedules</w:t>
      </w:r>
      <w:r w:rsidRPr="00D02D33">
        <w:rPr>
          <w:color w:val="000000" w:themeColor="text1"/>
        </w:rPr>
        <w:br/>
        <w:t>• On-call neurosurgical coverage agreements</w:t>
      </w:r>
      <w:r w:rsidRPr="00D02D33">
        <w:rPr>
          <w:color w:val="000000" w:themeColor="text1"/>
        </w:rPr>
        <w:br/>
        <w:t>• Policies governing consultation and transfer decisions</w:t>
      </w:r>
      <w:r w:rsidRPr="00D02D33">
        <w:rPr>
          <w:color w:val="000000" w:themeColor="text1"/>
        </w:rPr>
        <w:br/>
      </w:r>
      <w:r w:rsidRPr="00D02D33">
        <w:rPr>
          <w:color w:val="000000" w:themeColor="text1"/>
        </w:rPr>
        <w:br/>
        <w:t>Purpose: Delays may reflect systemic issues such as inadequate coverage, unclear responsibilities, or barriers to consultation.</w:t>
      </w:r>
    </w:p>
    <w:p w:rsidR="00D02D33" w:rsidRPr="00D02D33" w:rsidRDefault="00D02D33" w:rsidP="00D02D33">
      <w:pPr>
        <w:keepNext/>
        <w:keepLines/>
        <w:spacing w:before="200" w:after="0"/>
        <w:outlineLvl w:val="2"/>
        <w:rPr>
          <w:rFonts w:asciiTheme="majorHAnsi" w:eastAsiaTheme="majorEastAsia" w:hAnsiTheme="majorHAnsi" w:cstheme="majorBidi"/>
          <w:bCs/>
          <w:color w:val="000000" w:themeColor="text1"/>
        </w:rPr>
      </w:pPr>
      <w:r w:rsidRPr="00D02D33">
        <w:rPr>
          <w:rFonts w:asciiTheme="majorHAnsi" w:eastAsiaTheme="majorEastAsia" w:hAnsiTheme="majorHAnsi" w:cstheme="majorBidi"/>
          <w:bCs/>
          <w:color w:val="000000" w:themeColor="text1"/>
        </w:rPr>
        <w:t>5. Transfer and EMTALA-Related Documentation</w:t>
      </w:r>
    </w:p>
    <w:p w:rsidR="00D02D33" w:rsidRDefault="00D02D33" w:rsidP="00D02D33">
      <w:pPr>
        <w:rPr>
          <w:color w:val="000000" w:themeColor="text1"/>
        </w:rPr>
      </w:pPr>
      <w:r w:rsidRPr="00D02D33">
        <w:rPr>
          <w:color w:val="000000" w:themeColor="text1"/>
        </w:rPr>
        <w:t xml:space="preserve">• </w:t>
      </w:r>
      <w:r>
        <w:rPr>
          <w:color w:val="000000" w:themeColor="text1"/>
        </w:rPr>
        <w:t>Facility internal</w:t>
      </w:r>
      <w:r w:rsidRPr="00D02D33">
        <w:rPr>
          <w:color w:val="000000" w:themeColor="text1"/>
        </w:rPr>
        <w:t xml:space="preserve"> transfer policies</w:t>
      </w:r>
      <w:r w:rsidRPr="00D02D33">
        <w:rPr>
          <w:color w:val="000000" w:themeColor="text1"/>
        </w:rPr>
        <w:br/>
        <w:t>• Documentation of transfer decision-making</w:t>
      </w:r>
      <w:r w:rsidRPr="00D02D33">
        <w:rPr>
          <w:color w:val="000000" w:themeColor="text1"/>
        </w:rPr>
        <w:br/>
        <w:t>• Records showing timing of transfer initiation</w:t>
      </w:r>
    </w:p>
    <w:p w:rsidR="00D02D33" w:rsidRDefault="00D02D33" w:rsidP="00D02D33">
      <w:pPr>
        <w:rPr>
          <w:color w:val="000000" w:themeColor="text1"/>
        </w:rPr>
      </w:pPr>
      <w:r>
        <w:rPr>
          <w:color w:val="000000" w:themeColor="text1"/>
        </w:rPr>
        <w:t>6. Grievance Logs</w:t>
      </w:r>
    </w:p>
    <w:p w:rsidR="00494949" w:rsidRPr="00D02D33" w:rsidRDefault="00D02D33" w:rsidP="00D02D33">
      <w:pPr>
        <w:rPr>
          <w:color w:val="000000" w:themeColor="text1"/>
        </w:rPr>
      </w:pPr>
      <w:r>
        <w:rPr>
          <w:color w:val="000000" w:themeColor="text1"/>
        </w:rPr>
        <w:t xml:space="preserve">Establish patterns of neglect </w:t>
      </w:r>
      <w:bookmarkStart w:id="0" w:name="_GoBack"/>
      <w:bookmarkEnd w:id="0"/>
      <w:r w:rsidRPr="00D02D33">
        <w:rPr>
          <w:color w:val="000000" w:themeColor="text1"/>
        </w:rPr>
        <w:br/>
      </w:r>
      <w:r w:rsidRPr="00D02D33">
        <w:rPr>
          <w:color w:val="000000" w:themeColor="text1"/>
        </w:rPr>
        <w:br/>
      </w:r>
    </w:p>
    <w:p w:rsidR="00485EDC" w:rsidRPr="00D02D33" w:rsidRDefault="00D02D33">
      <w:pPr>
        <w:pStyle w:val="Heading2"/>
        <w:rPr>
          <w:b w:val="0"/>
          <w:color w:val="000000" w:themeColor="text1"/>
        </w:rPr>
      </w:pPr>
      <w:r w:rsidRPr="00D02D33">
        <w:rPr>
          <w:b w:val="0"/>
          <w:color w:val="000000" w:themeColor="text1"/>
        </w:rPr>
        <w:t>AUTHORITIES REFERENCED (IN-TEXT)</w:t>
      </w:r>
    </w:p>
    <w:p w:rsidR="00485EDC" w:rsidRPr="00D02D33" w:rsidRDefault="00D02D33">
      <w:pPr>
        <w:rPr>
          <w:color w:val="000000" w:themeColor="text1"/>
        </w:rPr>
      </w:pPr>
      <w:r w:rsidRPr="00D02D33">
        <w:rPr>
          <w:color w:val="000000" w:themeColor="text1"/>
        </w:rPr>
        <w:t xml:space="preserve">• Centers for Medicare &amp; Medicaid Services. </w:t>
      </w:r>
      <w:r w:rsidRPr="00D02D33">
        <w:rPr>
          <w:color w:val="000000" w:themeColor="text1"/>
        </w:rPr>
        <w:t>Conditions of Participation for Hospitals, 42 CFR §§482.23, 482.24, 482.55.</w:t>
      </w:r>
      <w:r w:rsidRPr="00D02D33">
        <w:rPr>
          <w:color w:val="000000" w:themeColor="text1"/>
        </w:rPr>
        <w:br/>
        <w:t>• American College of Surgeons. Trauma Quality Improvement Program (TQIP) Best Practices Guidelines.</w:t>
      </w:r>
      <w:r w:rsidRPr="00D02D33">
        <w:rPr>
          <w:color w:val="000000" w:themeColor="text1"/>
        </w:rPr>
        <w:br/>
        <w:t>• Brain Trauma Foundation. Guidelines for the Management of Severe Traumatic Br</w:t>
      </w:r>
      <w:r w:rsidRPr="00D02D33">
        <w:rPr>
          <w:color w:val="000000" w:themeColor="text1"/>
        </w:rPr>
        <w:t>ain Injury.</w:t>
      </w:r>
      <w:r w:rsidRPr="00D02D33">
        <w:rPr>
          <w:color w:val="000000" w:themeColor="text1"/>
        </w:rPr>
        <w:br/>
        <w:t>• American College of Emergency Physicians. Clinical Policy: Mild Traumatic Brain Injury.</w:t>
      </w:r>
      <w:r w:rsidRPr="00D02D33">
        <w:rPr>
          <w:color w:val="000000" w:themeColor="text1"/>
        </w:rPr>
        <w:br/>
        <w:t>• Daubert v. Merrell Dow Pharmaceuticals, Inc., 509 U.S. 579 (1993).</w:t>
      </w:r>
    </w:p>
    <w:p w:rsidR="00485EDC" w:rsidRPr="00D02D33" w:rsidRDefault="00D02D33">
      <w:pPr>
        <w:rPr>
          <w:color w:val="000000" w:themeColor="text1"/>
        </w:rPr>
      </w:pPr>
      <w:r w:rsidRPr="00D02D33">
        <w:rPr>
          <w:color w:val="000000" w:themeColor="text1"/>
        </w:rPr>
        <w:lastRenderedPageBreak/>
        <w:br/>
      </w:r>
    </w:p>
    <w:sectPr w:rsidR="00485EDC" w:rsidRPr="00D02D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85EDC"/>
    <w:rsid w:val="00494949"/>
    <w:rsid w:val="005B1CC4"/>
    <w:rsid w:val="00AA1D8D"/>
    <w:rsid w:val="00B47730"/>
    <w:rsid w:val="00CB0664"/>
    <w:rsid w:val="00D02D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F0DFBDA-672D-4D3D-A6DA-DFE11CB0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B09E-C0B3-443B-B9A5-2AECEC91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C Steinfeldt</cp:lastModifiedBy>
  <cp:revision>3</cp:revision>
  <dcterms:created xsi:type="dcterms:W3CDTF">2026-01-26T18:58:00Z</dcterms:created>
  <dcterms:modified xsi:type="dcterms:W3CDTF">2026-01-26T19:13:00Z</dcterms:modified>
  <cp:category/>
</cp:coreProperties>
</file>